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F2A2" w14:textId="77777777" w:rsidR="000A4002" w:rsidRDefault="00000000">
      <w:pPr>
        <w:pBdr>
          <w:bottom w:val="thinThickMediumGap" w:sz="18" w:space="1" w:color="FF0000"/>
        </w:pBdr>
        <w:tabs>
          <w:tab w:val="left" w:pos="7600"/>
        </w:tabs>
        <w:spacing w:line="800" w:lineRule="exact"/>
        <w:jc w:val="center"/>
        <w:rPr>
          <w:rStyle w:val="NormalCharacter"/>
          <w:rFonts w:ascii="方正小标宋简体" w:eastAsia="方正小标宋简体"/>
          <w:b/>
          <w:color w:val="FF0000"/>
          <w:w w:val="75"/>
          <w:sz w:val="68"/>
          <w:szCs w:val="68"/>
        </w:rPr>
      </w:pPr>
      <w:r>
        <w:rPr>
          <w:rStyle w:val="NormalCharacter"/>
          <w:rFonts w:ascii="方正小标宋简体" w:eastAsia="方正小标宋简体"/>
          <w:b/>
          <w:color w:val="FF0000"/>
          <w:w w:val="75"/>
          <w:sz w:val="68"/>
          <w:szCs w:val="68"/>
        </w:rPr>
        <w:t>共青团湖南理工职业技术学院委员会</w:t>
      </w:r>
    </w:p>
    <w:p w14:paraId="5ADF0525" w14:textId="77777777" w:rsidR="000A4002" w:rsidRDefault="000A4002">
      <w:pPr>
        <w:spacing w:line="300" w:lineRule="exact"/>
        <w:jc w:val="center"/>
        <w:rPr>
          <w:rStyle w:val="NormalCharacter"/>
        </w:rPr>
      </w:pPr>
    </w:p>
    <w:p w14:paraId="38D5438B" w14:textId="77777777" w:rsidR="000A4002" w:rsidRDefault="00000000">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湘理职院团[2024]1号</w:t>
      </w:r>
    </w:p>
    <w:p w14:paraId="688D02EF" w14:textId="77777777" w:rsidR="000A4002" w:rsidRDefault="00000000">
      <w:pPr>
        <w:jc w:val="center"/>
        <w:rPr>
          <w:rFonts w:ascii="方正小标宋简体" w:eastAsia="方正小标宋简体" w:hAnsi="宋体"/>
          <w:sz w:val="44"/>
          <w:szCs w:val="44"/>
        </w:rPr>
      </w:pPr>
      <w:r>
        <w:rPr>
          <w:rFonts w:ascii="方正小标宋简体" w:eastAsia="方正小标宋简体" w:hAnsi="宋体" w:hint="eastAsia"/>
          <w:sz w:val="44"/>
          <w:szCs w:val="44"/>
        </w:rPr>
        <w:t>关于开展二〇二四年上学期“推优入党”</w:t>
      </w:r>
    </w:p>
    <w:p w14:paraId="04B68A0E" w14:textId="77777777" w:rsidR="000A4002" w:rsidRDefault="00000000">
      <w:pPr>
        <w:jc w:val="center"/>
        <w:rPr>
          <w:rFonts w:ascii="方正小标宋简体" w:eastAsia="方正小标宋简体" w:hAnsi="宋体"/>
          <w:sz w:val="44"/>
          <w:szCs w:val="44"/>
        </w:rPr>
      </w:pPr>
      <w:r>
        <w:rPr>
          <w:rFonts w:ascii="方正小标宋简体" w:eastAsia="方正小标宋简体" w:hAnsi="宋体" w:hint="eastAsia"/>
          <w:sz w:val="44"/>
          <w:szCs w:val="44"/>
        </w:rPr>
        <w:t>工作的通知</w:t>
      </w:r>
    </w:p>
    <w:p w14:paraId="69DAFEE5" w14:textId="77777777" w:rsidR="000A4002" w:rsidRDefault="00000000">
      <w:pPr>
        <w:spacing w:line="200" w:lineRule="atLeas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各二级学院团总支：</w:t>
      </w:r>
    </w:p>
    <w:p w14:paraId="11717FCB" w14:textId="77777777" w:rsidR="000A4002" w:rsidRDefault="00000000">
      <w:pPr>
        <w:spacing w:line="200" w:lineRule="atLeast"/>
        <w:ind w:firstLineChars="200" w:firstLine="64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14:paraId="4A40581A" w14:textId="77777777" w:rsidR="000A4002" w:rsidRDefault="00000000">
      <w:pPr>
        <w:widowControl/>
        <w:spacing w:line="200" w:lineRule="atLeast"/>
        <w:ind w:firstLineChars="200" w:firstLine="640"/>
        <w:outlineLvl w:val="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一、明确“推优”意义</w:t>
      </w:r>
    </w:p>
    <w:p w14:paraId="2180B09E"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推优”工作是学校党、团组织的一项极其重要的、战略性的工作，各级团组织要自觉按照党的要求培养、教育团员青年，源源不断地向党输送新鲜血液，充分发挥党的后备军作用，不断增强自身的凝聚力和战斗力。  </w:t>
      </w:r>
    </w:p>
    <w:p w14:paraId="610468B3" w14:textId="77777777" w:rsidR="000A4002" w:rsidRDefault="00000000">
      <w:pPr>
        <w:widowControl/>
        <w:spacing w:line="200" w:lineRule="atLeast"/>
        <w:ind w:firstLineChars="200" w:firstLine="640"/>
        <w:outlineLvl w:val="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二、坚持质量标准</w:t>
      </w:r>
    </w:p>
    <w:p w14:paraId="013189ED"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政治思想上坚持以马列主义、毛泽东思想、邓小平理论、“三个代表”重要思想、科学发展观、习近平新时代中国特色社会主义思想为指导。道德品行上自觉树立和践行社会主</w:t>
      </w:r>
      <w:r>
        <w:rPr>
          <w:rFonts w:ascii="方正仿宋_GB2312" w:eastAsia="方正仿宋_GB2312" w:hAnsi="方正仿宋_GB2312" w:cs="方正仿宋_GB2312" w:hint="eastAsia"/>
          <w:sz w:val="32"/>
          <w:szCs w:val="32"/>
        </w:rPr>
        <w:lastRenderedPageBreak/>
        <w:t>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14:paraId="6484F5FA"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“三必须”指：</w:t>
      </w:r>
    </w:p>
    <w:p w14:paraId="5BDD7074"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被推优对象必须写了入党申请书，并按时递交思想汇报；</w:t>
      </w:r>
    </w:p>
    <w:p w14:paraId="59300860"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被推优秀对象必须有1年以上的团龄；</w:t>
      </w:r>
    </w:p>
    <w:p w14:paraId="22BE3CD8"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被推荐对象必须具有优秀的品德修养，学习勤奋，学业成绩优良；</w:t>
      </w:r>
    </w:p>
    <w:p w14:paraId="7730E882"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“三优先”指：</w:t>
      </w:r>
    </w:p>
    <w:p w14:paraId="2A54AC5A"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获得奖学金、英语、计算机过级考试或其他资格证书者予以优先考虑；</w:t>
      </w:r>
    </w:p>
    <w:p w14:paraId="0D64CC8B"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优秀学生干部、优秀团干、优秀团员予以优先考虑；</w:t>
      </w:r>
    </w:p>
    <w:p w14:paraId="6F07ADC9"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积极参加社会实践活动，各方面能起带头作用，思想品德好，在同学中有较好的口碑者予以优先考虑；</w:t>
      </w:r>
    </w:p>
    <w:p w14:paraId="14A2E831"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“三不准”指：</w:t>
      </w:r>
    </w:p>
    <w:p w14:paraId="48B25021"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在校期间有补考、重修现象的，不予以推优;</w:t>
      </w:r>
    </w:p>
    <w:p w14:paraId="7BB8E1E5"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有违纪现象并有处分记录的不予以推优; </w:t>
      </w:r>
    </w:p>
    <w:p w14:paraId="7EBEFB35"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缺乏集体责任感和荣誉感，不积极参加班级、系部、学院各项活动的不予以推优。</w:t>
      </w:r>
    </w:p>
    <w:p w14:paraId="7FB82B8B" w14:textId="77777777" w:rsidR="000A4002" w:rsidRDefault="00000000">
      <w:pPr>
        <w:widowControl/>
        <w:spacing w:line="200" w:lineRule="atLeast"/>
        <w:ind w:firstLineChars="200" w:firstLine="640"/>
        <w:outlineLvl w:val="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三、完善推荐程序</w:t>
      </w:r>
    </w:p>
    <w:p w14:paraId="576B671C"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“推优”的程序有以下六个方面。</w:t>
      </w:r>
    </w:p>
    <w:p w14:paraId="4E5F8180"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1、“推优”的比例一般不超过团支部团员人数的20%，每次推荐有效期为2年。</w:t>
      </w:r>
    </w:p>
    <w:p w14:paraId="40F7EDA8"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2、由二级学院团总支书记牵头召开各班团支部书记会议，以团支部为单位根据申请入党团员在支部中的表现进行全面评议考察。坚持“推优”标准，在全面评议的基础上按择优原则，草拟推优名单。</w:t>
      </w:r>
    </w:p>
    <w:p w14:paraId="02651DED"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3、将推优名单下发到相应各团支部进行民主测评，测评时支部团员必须到会2／3以上，票数达到实到会人数1／2者才被确定为拟推优对象。</w:t>
      </w:r>
    </w:p>
    <w:p w14:paraId="7C39C30B"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4、各团总支将推优名单上报院团委，院团委进行评议审查后，将推优名单进行5天公示，广泛听取意见，最终确定正式推优对象。</w:t>
      </w:r>
    </w:p>
    <w:p w14:paraId="4EFC74CF"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5、下发《入党积极分子团组织推优表》，并逐级签署意见，同时各团总支将详细情况汇总报二级学院党组织。</w:t>
      </w:r>
    </w:p>
    <w:p w14:paraId="461A04B0" w14:textId="77777777" w:rsidR="000A4002"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请各二级学院团总支将《入党积极分子团组织推优表》、《入党积极分子团组织推优统计表》于3月22日前报院团委。希望各级团组织认真学习文件精神，做好此次“推优”工作。</w:t>
      </w:r>
    </w:p>
    <w:p w14:paraId="6F32A575" w14:textId="77777777" w:rsidR="000A4002" w:rsidRDefault="000A4002">
      <w:pPr>
        <w:ind w:firstLineChars="200" w:firstLine="640"/>
        <w:jc w:val="right"/>
        <w:rPr>
          <w:rFonts w:ascii="方正仿宋_GB2312" w:eastAsia="方正仿宋_GB2312" w:hAnsi="方正仿宋_GB2312" w:cs="方正仿宋_GB2312"/>
          <w:sz w:val="32"/>
          <w:szCs w:val="32"/>
        </w:rPr>
      </w:pPr>
    </w:p>
    <w:p w14:paraId="05026B53" w14:textId="77777777" w:rsidR="000A4002" w:rsidRDefault="00000000">
      <w:pPr>
        <w:ind w:firstLineChars="200" w:firstLine="64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共青团湖南理工职业技术学院委员会</w:t>
      </w:r>
    </w:p>
    <w:p w14:paraId="48DBFF55" w14:textId="77777777" w:rsidR="000A4002" w:rsidRDefault="00000000">
      <w:pPr>
        <w:tabs>
          <w:tab w:val="left" w:pos="7560"/>
        </w:tabs>
        <w:ind w:firstLineChars="1650" w:firstLine="528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2024年3月14日</w:t>
      </w:r>
    </w:p>
    <w:p w14:paraId="3ADF31DA" w14:textId="77777777" w:rsidR="000A4002" w:rsidRDefault="000A4002">
      <w:pPr>
        <w:outlineLvl w:val="0"/>
        <w:rPr>
          <w:rFonts w:ascii="黑体" w:eastAsia="黑体"/>
          <w:sz w:val="32"/>
          <w:szCs w:val="32"/>
        </w:rPr>
      </w:pPr>
    </w:p>
    <w:p w14:paraId="1F884719" w14:textId="77777777" w:rsidR="000A4002" w:rsidRDefault="00000000">
      <w:pPr>
        <w:outlineLvl w:val="0"/>
        <w:rPr>
          <w:rFonts w:ascii="黑体" w:eastAsia="黑体"/>
          <w:sz w:val="32"/>
          <w:szCs w:val="32"/>
        </w:rPr>
      </w:pPr>
      <w:r>
        <w:rPr>
          <w:rFonts w:ascii="黑体" w:eastAsia="黑体" w:hint="eastAsia"/>
          <w:sz w:val="32"/>
          <w:szCs w:val="32"/>
        </w:rPr>
        <w:t>附件一</w:t>
      </w:r>
    </w:p>
    <w:p w14:paraId="4A1C47D3" w14:textId="77777777" w:rsidR="000A4002" w:rsidRDefault="00000000">
      <w:pPr>
        <w:ind w:firstLineChars="200" w:firstLine="643"/>
        <w:jc w:val="center"/>
        <w:outlineLvl w:val="0"/>
        <w:rPr>
          <w:rFonts w:ascii="仿宋_GB2312" w:eastAsia="仿宋_GB2312"/>
          <w:b/>
          <w:sz w:val="32"/>
          <w:szCs w:val="32"/>
        </w:rPr>
      </w:pPr>
      <w:r>
        <w:rPr>
          <w:rFonts w:ascii="仿宋_GB2312" w:eastAsia="仿宋_GB2312" w:hint="eastAsia"/>
          <w:b/>
          <w:sz w:val="32"/>
          <w:szCs w:val="32"/>
        </w:rPr>
        <w:t>2024年上学期推优名额分配表</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3195"/>
        <w:gridCol w:w="2255"/>
      </w:tblGrid>
      <w:tr w:rsidR="000A4002" w14:paraId="1BA1C494" w14:textId="77777777">
        <w:trPr>
          <w:trHeight w:val="1423"/>
        </w:trPr>
        <w:tc>
          <w:tcPr>
            <w:tcW w:w="3228" w:type="dxa"/>
            <w:vAlign w:val="center"/>
          </w:tcPr>
          <w:p w14:paraId="39FC36E7" w14:textId="77777777" w:rsidR="000A4002" w:rsidRDefault="00000000">
            <w:pPr>
              <w:spacing w:line="360" w:lineRule="auto"/>
              <w:jc w:val="center"/>
              <w:rPr>
                <w:rFonts w:eastAsia="仿宋_GB2312"/>
                <w:sz w:val="32"/>
                <w:szCs w:val="32"/>
              </w:rPr>
            </w:pPr>
            <w:r>
              <w:rPr>
                <w:rFonts w:eastAsia="仿宋_GB2312"/>
                <w:sz w:val="32"/>
                <w:szCs w:val="32"/>
              </w:rPr>
              <w:t>学院</w:t>
            </w:r>
          </w:p>
        </w:tc>
        <w:tc>
          <w:tcPr>
            <w:tcW w:w="3195" w:type="dxa"/>
            <w:vAlign w:val="center"/>
          </w:tcPr>
          <w:p w14:paraId="1BD3202D" w14:textId="77777777" w:rsidR="000A4002" w:rsidRDefault="00000000">
            <w:pPr>
              <w:spacing w:line="360" w:lineRule="auto"/>
              <w:jc w:val="center"/>
              <w:rPr>
                <w:rFonts w:eastAsia="仿宋_GB2312"/>
                <w:sz w:val="32"/>
                <w:szCs w:val="32"/>
              </w:rPr>
            </w:pPr>
            <w:r>
              <w:rPr>
                <w:rFonts w:eastAsia="仿宋_GB2312" w:hint="eastAsia"/>
                <w:sz w:val="32"/>
                <w:szCs w:val="32"/>
              </w:rPr>
              <w:t>团员</w:t>
            </w:r>
            <w:r>
              <w:rPr>
                <w:rFonts w:eastAsia="仿宋_GB2312"/>
                <w:sz w:val="32"/>
                <w:szCs w:val="32"/>
              </w:rPr>
              <w:t>人数</w:t>
            </w:r>
          </w:p>
          <w:p w14:paraId="0D86132D" w14:textId="77777777" w:rsidR="000A4002" w:rsidRDefault="00000000">
            <w:pPr>
              <w:spacing w:line="360" w:lineRule="auto"/>
              <w:jc w:val="center"/>
              <w:rPr>
                <w:rFonts w:eastAsia="仿宋_GB2312"/>
                <w:sz w:val="32"/>
                <w:szCs w:val="32"/>
              </w:rPr>
            </w:pPr>
            <w:r>
              <w:rPr>
                <w:rFonts w:eastAsia="仿宋_GB2312" w:hint="eastAsia"/>
                <w:sz w:val="24"/>
              </w:rPr>
              <w:t>（</w:t>
            </w:r>
            <w:r>
              <w:rPr>
                <w:rFonts w:eastAsia="仿宋_GB2312" w:hint="eastAsia"/>
                <w:sz w:val="24"/>
              </w:rPr>
              <w:t>22</w:t>
            </w:r>
            <w:r>
              <w:rPr>
                <w:rFonts w:eastAsia="仿宋_GB2312" w:hint="eastAsia"/>
                <w:sz w:val="24"/>
              </w:rPr>
              <w:t>、</w:t>
            </w:r>
            <w:r>
              <w:rPr>
                <w:rFonts w:eastAsia="仿宋_GB2312" w:hint="eastAsia"/>
                <w:sz w:val="24"/>
              </w:rPr>
              <w:t>23</w:t>
            </w:r>
            <w:r>
              <w:rPr>
                <w:rFonts w:eastAsia="仿宋_GB2312" w:hint="eastAsia"/>
                <w:sz w:val="24"/>
              </w:rPr>
              <w:t>级）</w:t>
            </w:r>
          </w:p>
        </w:tc>
        <w:tc>
          <w:tcPr>
            <w:tcW w:w="2255" w:type="dxa"/>
            <w:vAlign w:val="center"/>
          </w:tcPr>
          <w:p w14:paraId="6B9A5AFE" w14:textId="77777777" w:rsidR="000A4002" w:rsidRDefault="00000000">
            <w:pPr>
              <w:spacing w:line="360" w:lineRule="auto"/>
              <w:jc w:val="center"/>
              <w:rPr>
                <w:rFonts w:eastAsia="仿宋_GB2312"/>
                <w:sz w:val="32"/>
                <w:szCs w:val="32"/>
              </w:rPr>
            </w:pPr>
            <w:r>
              <w:rPr>
                <w:rFonts w:eastAsia="仿宋_GB2312" w:hint="eastAsia"/>
                <w:sz w:val="32"/>
                <w:szCs w:val="32"/>
              </w:rPr>
              <w:t>名额分配</w:t>
            </w:r>
          </w:p>
        </w:tc>
      </w:tr>
      <w:tr w:rsidR="000A4002" w14:paraId="7DC708E8" w14:textId="77777777">
        <w:trPr>
          <w:trHeight w:val="1423"/>
        </w:trPr>
        <w:tc>
          <w:tcPr>
            <w:tcW w:w="3228" w:type="dxa"/>
            <w:vAlign w:val="center"/>
          </w:tcPr>
          <w:p w14:paraId="27FF1073" w14:textId="77777777" w:rsidR="000A4002" w:rsidRDefault="00000000">
            <w:pPr>
              <w:spacing w:line="360" w:lineRule="auto"/>
              <w:jc w:val="center"/>
              <w:rPr>
                <w:rFonts w:eastAsia="仿宋_GB2312"/>
                <w:sz w:val="32"/>
                <w:szCs w:val="32"/>
              </w:rPr>
            </w:pPr>
            <w:r>
              <w:rPr>
                <w:rFonts w:eastAsia="仿宋_GB2312" w:hint="eastAsia"/>
                <w:sz w:val="31"/>
                <w:szCs w:val="31"/>
              </w:rPr>
              <w:t>新能源学院</w:t>
            </w:r>
          </w:p>
        </w:tc>
        <w:tc>
          <w:tcPr>
            <w:tcW w:w="3195" w:type="dxa"/>
            <w:vAlign w:val="center"/>
          </w:tcPr>
          <w:p w14:paraId="7F26C578" w14:textId="77777777" w:rsidR="000A4002" w:rsidRDefault="00000000">
            <w:pPr>
              <w:spacing w:line="360" w:lineRule="auto"/>
              <w:jc w:val="center"/>
              <w:rPr>
                <w:rFonts w:eastAsia="仿宋_GB2312"/>
                <w:sz w:val="32"/>
                <w:szCs w:val="32"/>
              </w:rPr>
            </w:pPr>
            <w:r>
              <w:rPr>
                <w:rFonts w:eastAsia="仿宋_GB2312" w:hint="eastAsia"/>
                <w:sz w:val="32"/>
                <w:szCs w:val="32"/>
              </w:rPr>
              <w:t>398</w:t>
            </w:r>
          </w:p>
        </w:tc>
        <w:tc>
          <w:tcPr>
            <w:tcW w:w="2255" w:type="dxa"/>
            <w:vAlign w:val="center"/>
          </w:tcPr>
          <w:p w14:paraId="0D72878E" w14:textId="77777777" w:rsidR="000A4002" w:rsidRDefault="00000000">
            <w:pPr>
              <w:spacing w:line="360" w:lineRule="auto"/>
              <w:jc w:val="center"/>
              <w:rPr>
                <w:rFonts w:eastAsia="仿宋_GB2312"/>
                <w:sz w:val="32"/>
                <w:szCs w:val="32"/>
              </w:rPr>
            </w:pPr>
            <w:r>
              <w:rPr>
                <w:rFonts w:eastAsia="仿宋_GB2312" w:hint="eastAsia"/>
                <w:sz w:val="32"/>
                <w:szCs w:val="32"/>
              </w:rPr>
              <w:t>59</w:t>
            </w:r>
          </w:p>
        </w:tc>
      </w:tr>
      <w:tr w:rsidR="000A4002" w14:paraId="2920A9C9" w14:textId="77777777">
        <w:trPr>
          <w:trHeight w:val="1423"/>
        </w:trPr>
        <w:tc>
          <w:tcPr>
            <w:tcW w:w="3228" w:type="dxa"/>
            <w:vAlign w:val="center"/>
          </w:tcPr>
          <w:p w14:paraId="57ADA092" w14:textId="77777777" w:rsidR="000A4002" w:rsidRDefault="00000000">
            <w:pPr>
              <w:spacing w:line="360" w:lineRule="auto"/>
              <w:jc w:val="center"/>
              <w:rPr>
                <w:rFonts w:eastAsia="仿宋_GB2312"/>
                <w:sz w:val="32"/>
                <w:szCs w:val="32"/>
              </w:rPr>
            </w:pPr>
            <w:r>
              <w:rPr>
                <w:rFonts w:eastAsia="仿宋_GB2312" w:hint="eastAsia"/>
                <w:sz w:val="31"/>
                <w:szCs w:val="31"/>
              </w:rPr>
              <w:t>智能制造学院</w:t>
            </w:r>
          </w:p>
        </w:tc>
        <w:tc>
          <w:tcPr>
            <w:tcW w:w="3195" w:type="dxa"/>
            <w:vAlign w:val="center"/>
          </w:tcPr>
          <w:p w14:paraId="3AF5D748" w14:textId="77777777" w:rsidR="000A4002" w:rsidRDefault="00000000">
            <w:pPr>
              <w:spacing w:line="360" w:lineRule="auto"/>
              <w:jc w:val="center"/>
              <w:rPr>
                <w:rFonts w:eastAsia="仿宋_GB2312"/>
                <w:sz w:val="32"/>
                <w:szCs w:val="32"/>
              </w:rPr>
            </w:pPr>
            <w:r>
              <w:rPr>
                <w:rFonts w:eastAsia="仿宋_GB2312" w:hint="eastAsia"/>
                <w:sz w:val="32"/>
                <w:szCs w:val="32"/>
              </w:rPr>
              <w:t>301</w:t>
            </w:r>
          </w:p>
        </w:tc>
        <w:tc>
          <w:tcPr>
            <w:tcW w:w="2255" w:type="dxa"/>
            <w:vAlign w:val="center"/>
          </w:tcPr>
          <w:p w14:paraId="0450C19F" w14:textId="77777777" w:rsidR="000A4002" w:rsidRDefault="00000000">
            <w:pPr>
              <w:spacing w:line="360" w:lineRule="auto"/>
              <w:jc w:val="center"/>
              <w:rPr>
                <w:rFonts w:eastAsia="仿宋_GB2312"/>
                <w:sz w:val="32"/>
                <w:szCs w:val="32"/>
              </w:rPr>
            </w:pPr>
            <w:r>
              <w:rPr>
                <w:rFonts w:eastAsia="仿宋_GB2312" w:hint="eastAsia"/>
                <w:sz w:val="32"/>
                <w:szCs w:val="32"/>
              </w:rPr>
              <w:t>45</w:t>
            </w:r>
          </w:p>
        </w:tc>
      </w:tr>
      <w:tr w:rsidR="000A4002" w14:paraId="1EAD30CE" w14:textId="77777777">
        <w:trPr>
          <w:trHeight w:val="1443"/>
        </w:trPr>
        <w:tc>
          <w:tcPr>
            <w:tcW w:w="3228" w:type="dxa"/>
            <w:vAlign w:val="center"/>
          </w:tcPr>
          <w:p w14:paraId="651E4043" w14:textId="77777777" w:rsidR="000A4002" w:rsidRDefault="00000000">
            <w:pPr>
              <w:spacing w:line="360" w:lineRule="auto"/>
              <w:jc w:val="center"/>
              <w:rPr>
                <w:rFonts w:eastAsia="仿宋_GB2312"/>
                <w:sz w:val="32"/>
                <w:szCs w:val="32"/>
              </w:rPr>
            </w:pPr>
            <w:r>
              <w:rPr>
                <w:rFonts w:eastAsia="仿宋_GB2312" w:hint="eastAsia"/>
                <w:sz w:val="31"/>
                <w:szCs w:val="31"/>
              </w:rPr>
              <w:t>管理艺术</w:t>
            </w:r>
            <w:r>
              <w:rPr>
                <w:rFonts w:eastAsia="仿宋_GB2312"/>
                <w:sz w:val="31"/>
                <w:szCs w:val="31"/>
              </w:rPr>
              <w:t>学院</w:t>
            </w:r>
          </w:p>
        </w:tc>
        <w:tc>
          <w:tcPr>
            <w:tcW w:w="3195" w:type="dxa"/>
            <w:vAlign w:val="center"/>
          </w:tcPr>
          <w:p w14:paraId="549425AD" w14:textId="77777777" w:rsidR="000A4002" w:rsidRDefault="00000000">
            <w:pPr>
              <w:spacing w:line="360" w:lineRule="auto"/>
              <w:jc w:val="center"/>
              <w:rPr>
                <w:rFonts w:eastAsia="仿宋_GB2312"/>
                <w:sz w:val="32"/>
                <w:szCs w:val="32"/>
              </w:rPr>
            </w:pPr>
            <w:r>
              <w:rPr>
                <w:rFonts w:eastAsia="仿宋_GB2312" w:hint="eastAsia"/>
                <w:sz w:val="32"/>
                <w:szCs w:val="32"/>
              </w:rPr>
              <w:t>385</w:t>
            </w:r>
          </w:p>
        </w:tc>
        <w:tc>
          <w:tcPr>
            <w:tcW w:w="2255" w:type="dxa"/>
            <w:vAlign w:val="center"/>
          </w:tcPr>
          <w:p w14:paraId="527647CC" w14:textId="77777777" w:rsidR="000A4002" w:rsidRDefault="00000000">
            <w:pPr>
              <w:spacing w:line="360" w:lineRule="auto"/>
              <w:jc w:val="center"/>
              <w:rPr>
                <w:rFonts w:eastAsia="仿宋_GB2312"/>
                <w:sz w:val="32"/>
                <w:szCs w:val="32"/>
              </w:rPr>
            </w:pPr>
            <w:r>
              <w:rPr>
                <w:rFonts w:eastAsia="仿宋_GB2312" w:hint="eastAsia"/>
                <w:sz w:val="32"/>
                <w:szCs w:val="32"/>
              </w:rPr>
              <w:t>57</w:t>
            </w:r>
          </w:p>
        </w:tc>
      </w:tr>
      <w:tr w:rsidR="000A4002" w14:paraId="5D37D3B2" w14:textId="77777777">
        <w:trPr>
          <w:trHeight w:val="1454"/>
        </w:trPr>
        <w:tc>
          <w:tcPr>
            <w:tcW w:w="3228" w:type="dxa"/>
            <w:vAlign w:val="center"/>
          </w:tcPr>
          <w:p w14:paraId="7536248D" w14:textId="77777777" w:rsidR="000A4002" w:rsidRDefault="00000000">
            <w:pPr>
              <w:spacing w:line="360" w:lineRule="auto"/>
              <w:jc w:val="center"/>
              <w:rPr>
                <w:rFonts w:eastAsia="仿宋_GB2312"/>
                <w:sz w:val="31"/>
                <w:szCs w:val="31"/>
              </w:rPr>
            </w:pPr>
            <w:r>
              <w:rPr>
                <w:rFonts w:eastAsia="仿宋_GB2312" w:hint="eastAsia"/>
                <w:sz w:val="31"/>
                <w:szCs w:val="31"/>
              </w:rPr>
              <w:t>动力谷分院</w:t>
            </w:r>
          </w:p>
        </w:tc>
        <w:tc>
          <w:tcPr>
            <w:tcW w:w="3195" w:type="dxa"/>
            <w:vAlign w:val="center"/>
          </w:tcPr>
          <w:p w14:paraId="39252DA2" w14:textId="77777777" w:rsidR="000A4002" w:rsidRDefault="00000000">
            <w:pPr>
              <w:spacing w:line="360" w:lineRule="auto"/>
              <w:jc w:val="center"/>
              <w:rPr>
                <w:rFonts w:eastAsia="仿宋_GB2312"/>
                <w:sz w:val="32"/>
                <w:szCs w:val="32"/>
              </w:rPr>
            </w:pPr>
            <w:r>
              <w:rPr>
                <w:rFonts w:eastAsia="仿宋_GB2312" w:hint="eastAsia"/>
                <w:sz w:val="32"/>
                <w:szCs w:val="32"/>
              </w:rPr>
              <w:t>50</w:t>
            </w:r>
          </w:p>
        </w:tc>
        <w:tc>
          <w:tcPr>
            <w:tcW w:w="2255" w:type="dxa"/>
            <w:vAlign w:val="center"/>
          </w:tcPr>
          <w:p w14:paraId="625475CB" w14:textId="77777777" w:rsidR="000A4002" w:rsidRDefault="00000000">
            <w:pPr>
              <w:spacing w:line="360" w:lineRule="auto"/>
              <w:jc w:val="center"/>
              <w:rPr>
                <w:rFonts w:eastAsia="仿宋_GB2312"/>
                <w:sz w:val="32"/>
                <w:szCs w:val="32"/>
              </w:rPr>
            </w:pPr>
            <w:r>
              <w:rPr>
                <w:rFonts w:eastAsia="仿宋_GB2312" w:hint="eastAsia"/>
                <w:sz w:val="32"/>
                <w:szCs w:val="32"/>
              </w:rPr>
              <w:t>7</w:t>
            </w:r>
          </w:p>
        </w:tc>
      </w:tr>
    </w:tbl>
    <w:p w14:paraId="41C14388" w14:textId="77777777" w:rsidR="000A4002" w:rsidRDefault="000A4002">
      <w:pPr>
        <w:spacing w:line="360" w:lineRule="auto"/>
      </w:pPr>
    </w:p>
    <w:p w14:paraId="2E489984" w14:textId="77777777" w:rsidR="000A4002" w:rsidRDefault="000A4002">
      <w:pPr>
        <w:spacing w:line="360" w:lineRule="auto"/>
      </w:pPr>
    </w:p>
    <w:p w14:paraId="32362004" w14:textId="77777777" w:rsidR="000A4002" w:rsidRDefault="000A4002">
      <w:pPr>
        <w:tabs>
          <w:tab w:val="left" w:pos="7560"/>
        </w:tabs>
        <w:ind w:firstLineChars="1650" w:firstLine="3465"/>
      </w:pPr>
    </w:p>
    <w:p w14:paraId="617702BB" w14:textId="77777777" w:rsidR="000A4002" w:rsidRDefault="000A4002">
      <w:pPr>
        <w:jc w:val="center"/>
        <w:rPr>
          <w:rFonts w:ascii="仿宋_GB2312" w:eastAsia="仿宋_GB2312" w:hAnsi="仿宋" w:cs="仿宋"/>
          <w:sz w:val="30"/>
          <w:szCs w:val="30"/>
        </w:rPr>
      </w:pPr>
    </w:p>
    <w:p w14:paraId="2DB0B280" w14:textId="77777777" w:rsidR="000A4002" w:rsidRDefault="000A4002"/>
    <w:sectPr w:rsidR="000A40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2D18" w14:textId="77777777" w:rsidR="00C23759" w:rsidRDefault="00C23759" w:rsidP="001F781B">
      <w:r>
        <w:separator/>
      </w:r>
    </w:p>
  </w:endnote>
  <w:endnote w:type="continuationSeparator" w:id="0">
    <w:p w14:paraId="002558C0" w14:textId="77777777" w:rsidR="00C23759" w:rsidRDefault="00C23759" w:rsidP="001F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E5300D82-9130-4D26-9A5A-DA9BE08E7085}"/>
  </w:font>
  <w:font w:name="方正小标宋简体">
    <w:charset w:val="86"/>
    <w:family w:val="script"/>
    <w:pitch w:val="default"/>
    <w:sig w:usb0="00000001" w:usb1="08000000" w:usb2="00000000" w:usb3="00000000" w:csb0="00040000" w:csb1="00000000"/>
    <w:embedRegular r:id="rId2" w:subsetted="1" w:fontKey="{0733E4DD-C660-4E1F-957A-C23AD370D474}"/>
    <w:embedBold r:id="rId3" w:subsetted="1" w:fontKey="{132AB805-879E-4893-A5D0-B6808E864BE3}"/>
  </w:font>
  <w:font w:name="方正仿宋_GB2312">
    <w:charset w:val="86"/>
    <w:family w:val="auto"/>
    <w:pitch w:val="default"/>
    <w:sig w:usb0="A00002BF" w:usb1="184F6CFA" w:usb2="00000012" w:usb3="00000000" w:csb0="00040001" w:csb1="00000000"/>
    <w:embedRegular r:id="rId4" w:subsetted="1" w:fontKey="{55D8A437-DA63-45F7-B2C6-52686AE782AB}"/>
  </w:font>
  <w:font w:name="黑体">
    <w:altName w:val="SimHei"/>
    <w:panose1 w:val="02010609060101010101"/>
    <w:charset w:val="86"/>
    <w:family w:val="modern"/>
    <w:pitch w:val="fixed"/>
    <w:sig w:usb0="800002BF" w:usb1="38CF7CFA" w:usb2="00000016" w:usb3="00000000" w:csb0="00040001" w:csb1="00000000"/>
    <w:embedRegular r:id="rId5" w:subsetted="1" w:fontKey="{D53C5FE5-95BC-42AA-A2CE-3571B64C9AB1}"/>
  </w:font>
  <w:font w:name="仿宋_GB2312">
    <w:altName w:val="仿宋"/>
    <w:charset w:val="86"/>
    <w:family w:val="modern"/>
    <w:pitch w:val="default"/>
    <w:sig w:usb0="00000001" w:usb1="080E0000" w:usb2="00000000" w:usb3="00000000" w:csb0="00040000" w:csb1="00000000"/>
    <w:embedRegular r:id="rId6" w:subsetted="1" w:fontKey="{E837B231-7FE8-445A-9E7C-EB638EA21B8B}"/>
    <w:embedBold r:id="rId7" w:subsetted="1" w:fontKey="{C14EE8D4-3B1D-414F-A2C5-1D9CCDA1312F}"/>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CF37" w14:textId="77777777" w:rsidR="00C23759" w:rsidRDefault="00C23759" w:rsidP="001F781B">
      <w:r>
        <w:separator/>
      </w:r>
    </w:p>
  </w:footnote>
  <w:footnote w:type="continuationSeparator" w:id="0">
    <w:p w14:paraId="3DE161C3" w14:textId="77777777" w:rsidR="00C23759" w:rsidRDefault="00C23759" w:rsidP="001F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3OWYwMGMzNmIxMjM1MjkwNGUzMGY4Y2M4OTZkMmQifQ=="/>
  </w:docVars>
  <w:rsids>
    <w:rsidRoot w:val="4D484215"/>
    <w:rsid w:val="000A4002"/>
    <w:rsid w:val="001F781B"/>
    <w:rsid w:val="00C23759"/>
    <w:rsid w:val="00CF095C"/>
    <w:rsid w:val="09B62DE1"/>
    <w:rsid w:val="0D3F2CDD"/>
    <w:rsid w:val="0D6C7229"/>
    <w:rsid w:val="37381507"/>
    <w:rsid w:val="3B365190"/>
    <w:rsid w:val="3E8303BD"/>
    <w:rsid w:val="3FBC3754"/>
    <w:rsid w:val="47941C85"/>
    <w:rsid w:val="4A532874"/>
    <w:rsid w:val="4B950DB3"/>
    <w:rsid w:val="4D484215"/>
    <w:rsid w:val="58946F9D"/>
    <w:rsid w:val="59FE7FB2"/>
    <w:rsid w:val="5B5B28B8"/>
    <w:rsid w:val="5CFB4A72"/>
    <w:rsid w:val="63330D56"/>
    <w:rsid w:val="63786A20"/>
    <w:rsid w:val="674444DA"/>
    <w:rsid w:val="6A554E4C"/>
    <w:rsid w:val="6C686092"/>
    <w:rsid w:val="6EC43AC6"/>
    <w:rsid w:val="743127B8"/>
    <w:rsid w:val="792C077F"/>
    <w:rsid w:val="7A0C7750"/>
    <w:rsid w:val="7A28291C"/>
    <w:rsid w:val="7A4E2E05"/>
    <w:rsid w:val="7BEC6E90"/>
    <w:rsid w:val="7EF5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3B584"/>
  <w15:docId w15:val="{3AC883A8-AAC2-45A5-B984-2E4BA84B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styleId="a5">
    <w:name w:val="page number"/>
    <w:basedOn w:val="a0"/>
    <w:autoRedefine/>
    <w:qFormat/>
    <w:rPr>
      <w:rFonts w:ascii="Times New Roman" w:eastAsia="宋体" w:hAnsi="Times New Roman" w:cs="Times New Roman"/>
    </w:rPr>
  </w:style>
  <w:style w:type="character" w:customStyle="1" w:styleId="NormalCharacter">
    <w:name w:val="NormalCharacter"/>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qq@1421055497.com</cp:lastModifiedBy>
  <cp:revision>2</cp:revision>
  <dcterms:created xsi:type="dcterms:W3CDTF">2024-04-28T03:42:00Z</dcterms:created>
  <dcterms:modified xsi:type="dcterms:W3CDTF">2024-04-28T03:42:00Z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851BCEE7598742D18151C3AC96086F8A</vt:lpwstr>
  </property>
</Properties>
</file>